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2B1" w:rsidRDefault="00C012B1" w:rsidP="00C012B1">
      <w:r>
        <w:t>June 24, 2020</w:t>
      </w:r>
      <w:bookmarkStart w:id="0" w:name="_GoBack"/>
      <w:bookmarkEnd w:id="0"/>
    </w:p>
    <w:p w:rsidR="00C012B1" w:rsidRDefault="00C012B1" w:rsidP="00C012B1"/>
    <w:p w:rsidR="00C012B1" w:rsidRDefault="00C012B1" w:rsidP="00C012B1">
      <w:r>
        <w:t>In the essence of transparency, we would like to make the public aware of a situation that arose at Fremont Public Schools.  During an internal audit conducted by our Director of Finance, Bing Hanson, some discrepancies were found in accounting which resulted in the termination of an employee and a police investigation.   Fremont Public Schools is grateful to the Fremont Police Department for their quick and thorough investigation resulting in the matter being turned over to the Prosecuting Attorney of Newaygo County.</w:t>
      </w:r>
    </w:p>
    <w:p w:rsidR="00C012B1" w:rsidRDefault="00C012B1" w:rsidP="00C012B1"/>
    <w:p w:rsidR="00C012B1" w:rsidRDefault="00C012B1" w:rsidP="00C012B1"/>
    <w:p w:rsidR="00C012B1" w:rsidRDefault="00C012B1" w:rsidP="00C012B1">
      <w:pPr>
        <w:rPr>
          <w:color w:val="000000"/>
        </w:rPr>
      </w:pPr>
    </w:p>
    <w:p w:rsidR="00C012B1" w:rsidRDefault="00C012B1" w:rsidP="00C012B1">
      <w:pPr>
        <w:rPr>
          <w:color w:val="000000"/>
        </w:rPr>
      </w:pPr>
    </w:p>
    <w:tbl>
      <w:tblPr>
        <w:tblW w:w="0" w:type="auto"/>
        <w:tblCellMar>
          <w:left w:w="0" w:type="dxa"/>
          <w:right w:w="0" w:type="dxa"/>
        </w:tblCellMar>
        <w:tblLook w:val="04A0" w:firstRow="1" w:lastRow="0" w:firstColumn="1" w:lastColumn="0" w:noHBand="0" w:noVBand="1"/>
      </w:tblPr>
      <w:tblGrid>
        <w:gridCol w:w="1686"/>
        <w:gridCol w:w="4344"/>
      </w:tblGrid>
      <w:tr w:rsidR="00C012B1" w:rsidTr="00C012B1">
        <w:trPr>
          <w:trHeight w:val="271"/>
        </w:trPr>
        <w:tc>
          <w:tcPr>
            <w:tcW w:w="1686" w:type="dxa"/>
            <w:vMerge w:val="restart"/>
            <w:tcMar>
              <w:top w:w="0" w:type="dxa"/>
              <w:left w:w="108" w:type="dxa"/>
              <w:bottom w:w="0" w:type="dxa"/>
              <w:right w:w="108" w:type="dxa"/>
            </w:tcMar>
            <w:hideMark/>
          </w:tcPr>
          <w:p w:rsidR="00C012B1" w:rsidRDefault="00C012B1">
            <w:pPr>
              <w:rPr>
                <w:color w:val="000000"/>
                <w:sz w:val="24"/>
                <w:szCs w:val="24"/>
              </w:rPr>
            </w:pPr>
            <w:r>
              <w:rPr>
                <w:noProof/>
              </w:rPr>
              <w:drawing>
                <wp:anchor distT="0" distB="0" distL="114300" distR="114300" simplePos="0" relativeHeight="251659264" behindDoc="0" locked="0" layoutInCell="1" allowOverlap="1">
                  <wp:simplePos x="0" y="0"/>
                  <wp:positionH relativeFrom="column">
                    <wp:posOffset>-1270</wp:posOffset>
                  </wp:positionH>
                  <wp:positionV relativeFrom="page">
                    <wp:posOffset>29845</wp:posOffset>
                  </wp:positionV>
                  <wp:extent cx="923925" cy="9823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82345"/>
                          </a:xfrm>
                          <a:prstGeom prst="rect">
                            <a:avLst/>
                          </a:prstGeom>
                          <a:noFill/>
                        </pic:spPr>
                      </pic:pic>
                    </a:graphicData>
                  </a:graphic>
                  <wp14:sizeRelH relativeFrom="page">
                    <wp14:pctWidth>0</wp14:pctWidth>
                  </wp14:sizeRelH>
                  <wp14:sizeRelV relativeFrom="page">
                    <wp14:pctHeight>0</wp14:pctHeight>
                  </wp14:sizeRelV>
                </wp:anchor>
              </w:drawing>
            </w:r>
          </w:p>
        </w:tc>
        <w:tc>
          <w:tcPr>
            <w:tcW w:w="4344" w:type="dxa"/>
            <w:tcMar>
              <w:top w:w="0" w:type="dxa"/>
              <w:left w:w="108" w:type="dxa"/>
              <w:bottom w:w="0" w:type="dxa"/>
              <w:right w:w="108" w:type="dxa"/>
            </w:tcMar>
            <w:hideMark/>
          </w:tcPr>
          <w:p w:rsidR="00C012B1" w:rsidRDefault="00C012B1">
            <w:pPr>
              <w:rPr>
                <w:b/>
                <w:bCs/>
                <w:color w:val="000000"/>
                <w:sz w:val="24"/>
                <w:szCs w:val="24"/>
              </w:rPr>
            </w:pPr>
            <w:r>
              <w:rPr>
                <w:b/>
                <w:bCs/>
                <w:color w:val="000000"/>
                <w:sz w:val="24"/>
                <w:szCs w:val="24"/>
              </w:rPr>
              <w:t>Ken Haggart</w:t>
            </w:r>
          </w:p>
        </w:tc>
      </w:tr>
      <w:tr w:rsidR="00C012B1" w:rsidTr="00C012B1">
        <w:trPr>
          <w:trHeight w:val="285"/>
        </w:trPr>
        <w:tc>
          <w:tcPr>
            <w:tcW w:w="0" w:type="auto"/>
            <w:vMerge/>
            <w:vAlign w:val="center"/>
            <w:hideMark/>
          </w:tcPr>
          <w:p w:rsidR="00C012B1" w:rsidRDefault="00C012B1">
            <w:pPr>
              <w:rPr>
                <w:color w:val="000000"/>
                <w:sz w:val="24"/>
                <w:szCs w:val="24"/>
              </w:rPr>
            </w:pPr>
          </w:p>
        </w:tc>
        <w:tc>
          <w:tcPr>
            <w:tcW w:w="4344" w:type="dxa"/>
            <w:tcMar>
              <w:top w:w="0" w:type="dxa"/>
              <w:left w:w="108" w:type="dxa"/>
              <w:bottom w:w="0" w:type="dxa"/>
              <w:right w:w="108" w:type="dxa"/>
            </w:tcMar>
            <w:hideMark/>
          </w:tcPr>
          <w:p w:rsidR="00C012B1" w:rsidRDefault="00C012B1">
            <w:pPr>
              <w:rPr>
                <w:b/>
                <w:bCs/>
                <w:color w:val="000000"/>
                <w:sz w:val="24"/>
                <w:szCs w:val="24"/>
              </w:rPr>
            </w:pPr>
            <w:r>
              <w:rPr>
                <w:b/>
                <w:bCs/>
                <w:color w:val="000000"/>
                <w:sz w:val="24"/>
                <w:szCs w:val="24"/>
              </w:rPr>
              <w:t>Superintendent of Schools</w:t>
            </w:r>
          </w:p>
        </w:tc>
      </w:tr>
      <w:tr w:rsidR="00C012B1" w:rsidTr="00C012B1">
        <w:trPr>
          <w:trHeight w:val="299"/>
        </w:trPr>
        <w:tc>
          <w:tcPr>
            <w:tcW w:w="0" w:type="auto"/>
            <w:vMerge/>
            <w:vAlign w:val="center"/>
            <w:hideMark/>
          </w:tcPr>
          <w:p w:rsidR="00C012B1" w:rsidRDefault="00C012B1">
            <w:pPr>
              <w:rPr>
                <w:color w:val="000000"/>
                <w:sz w:val="24"/>
                <w:szCs w:val="24"/>
              </w:rPr>
            </w:pPr>
          </w:p>
        </w:tc>
        <w:tc>
          <w:tcPr>
            <w:tcW w:w="4344" w:type="dxa"/>
            <w:tcMar>
              <w:top w:w="0" w:type="dxa"/>
              <w:left w:w="108" w:type="dxa"/>
              <w:bottom w:w="0" w:type="dxa"/>
              <w:right w:w="108" w:type="dxa"/>
            </w:tcMar>
            <w:hideMark/>
          </w:tcPr>
          <w:p w:rsidR="00C012B1" w:rsidRDefault="00C012B1">
            <w:pPr>
              <w:rPr>
                <w:color w:val="000000"/>
                <w:sz w:val="24"/>
                <w:szCs w:val="24"/>
              </w:rPr>
            </w:pPr>
            <w:r>
              <w:rPr>
                <w:b/>
                <w:bCs/>
                <w:color w:val="000000"/>
                <w:sz w:val="24"/>
                <w:szCs w:val="24"/>
              </w:rPr>
              <w:t>Fremont Public Schools</w:t>
            </w:r>
          </w:p>
        </w:tc>
      </w:tr>
      <w:tr w:rsidR="00C012B1" w:rsidTr="00C012B1">
        <w:trPr>
          <w:trHeight w:val="405"/>
        </w:trPr>
        <w:tc>
          <w:tcPr>
            <w:tcW w:w="0" w:type="auto"/>
            <w:vMerge/>
            <w:vAlign w:val="center"/>
            <w:hideMark/>
          </w:tcPr>
          <w:p w:rsidR="00C012B1" w:rsidRDefault="00C012B1">
            <w:pPr>
              <w:rPr>
                <w:color w:val="000000"/>
                <w:sz w:val="24"/>
                <w:szCs w:val="24"/>
              </w:rPr>
            </w:pPr>
          </w:p>
        </w:tc>
        <w:tc>
          <w:tcPr>
            <w:tcW w:w="4344" w:type="dxa"/>
            <w:tcMar>
              <w:top w:w="0" w:type="dxa"/>
              <w:left w:w="108" w:type="dxa"/>
              <w:bottom w:w="0" w:type="dxa"/>
              <w:right w:w="108" w:type="dxa"/>
            </w:tcMar>
            <w:hideMark/>
          </w:tcPr>
          <w:p w:rsidR="00C012B1" w:rsidRDefault="00C012B1">
            <w:pPr>
              <w:rPr>
                <w:color w:val="000000"/>
                <w:sz w:val="24"/>
                <w:szCs w:val="24"/>
              </w:rPr>
            </w:pPr>
            <w:r>
              <w:rPr>
                <w:b/>
                <w:bCs/>
                <w:color w:val="000000"/>
                <w:sz w:val="24"/>
                <w:szCs w:val="24"/>
              </w:rPr>
              <w:t>Phone: (231) 924-8260</w:t>
            </w:r>
          </w:p>
        </w:tc>
      </w:tr>
      <w:tr w:rsidR="00C012B1" w:rsidTr="00C012B1">
        <w:trPr>
          <w:trHeight w:val="459"/>
        </w:trPr>
        <w:tc>
          <w:tcPr>
            <w:tcW w:w="0" w:type="auto"/>
            <w:vMerge/>
            <w:vAlign w:val="center"/>
            <w:hideMark/>
          </w:tcPr>
          <w:p w:rsidR="00C012B1" w:rsidRDefault="00C012B1">
            <w:pPr>
              <w:rPr>
                <w:color w:val="000000"/>
                <w:sz w:val="24"/>
                <w:szCs w:val="24"/>
              </w:rPr>
            </w:pPr>
          </w:p>
        </w:tc>
        <w:tc>
          <w:tcPr>
            <w:tcW w:w="4344" w:type="dxa"/>
            <w:tcMar>
              <w:top w:w="0" w:type="dxa"/>
              <w:left w:w="108" w:type="dxa"/>
              <w:bottom w:w="0" w:type="dxa"/>
              <w:right w:w="108" w:type="dxa"/>
            </w:tcMar>
            <w:hideMark/>
          </w:tcPr>
          <w:p w:rsidR="00C012B1" w:rsidRDefault="00C012B1">
            <w:pPr>
              <w:rPr>
                <w:color w:val="FF0000"/>
                <w:sz w:val="32"/>
                <w:szCs w:val="32"/>
              </w:rPr>
            </w:pPr>
            <w:r>
              <w:rPr>
                <w:color w:val="FF0000"/>
                <w:sz w:val="32"/>
                <w:szCs w:val="32"/>
              </w:rPr>
              <w:t>Go Packers!</w:t>
            </w:r>
          </w:p>
        </w:tc>
      </w:tr>
    </w:tbl>
    <w:p w:rsidR="00C012B1" w:rsidRDefault="00C012B1" w:rsidP="00C012B1"/>
    <w:p w:rsidR="00C012B1" w:rsidRDefault="00C012B1" w:rsidP="00C012B1"/>
    <w:p w:rsidR="00714F10" w:rsidRDefault="00C012B1"/>
    <w:sectPr w:rsidR="00714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B1"/>
    <w:rsid w:val="00271020"/>
    <w:rsid w:val="004D6D36"/>
    <w:rsid w:val="00C0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4600"/>
  <w15:chartTrackingRefBased/>
  <w15:docId w15:val="{B272B572-0D17-490F-B70A-2C35627C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2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23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Thome, Barbara</dc:creator>
  <cp:keywords/>
  <dc:description/>
  <cp:lastModifiedBy>Thome, Barbara</cp:lastModifiedBy>
  <cp:revision>1</cp:revision>
  <dcterms:created xsi:type="dcterms:W3CDTF">2020-06-24T14:58:00Z</dcterms:created>
  <dcterms:modified xsi:type="dcterms:W3CDTF">2020-06-24T15:00:00Z</dcterms:modified>
</cp:coreProperties>
</file>